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001D30">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001D30">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001D30">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001D30">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001D30">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001D30">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001D30">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3154243"/>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lastRenderedPageBreak/>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w:t>
      </w:r>
      <w:r>
        <w:lastRenderedPageBreak/>
        <w:t>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lastRenderedPageBreak/>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lastRenderedPageBreak/>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lastRenderedPageBreak/>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lastRenderedPageBreak/>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 xml:space="preserve">(iv)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lastRenderedPageBreak/>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lastRenderedPageBreak/>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3154244"/>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3154245"/>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3154246"/>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lastRenderedPageBreak/>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3154247"/>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3154248"/>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3154249"/>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3154250"/>
      <w:r>
        <w:lastRenderedPageBreak/>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w:t>
      </w:r>
      <w:r w:rsidR="00006EA2" w:rsidRPr="00871368">
        <w:lastRenderedPageBreak/>
        <w:t xml:space="preserve">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3154251"/>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3154252"/>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lastRenderedPageBreak/>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lastRenderedPageBreak/>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3154253"/>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w:t>
      </w:r>
      <w:r w:rsidR="006730E8">
        <w:lastRenderedPageBreak/>
        <w:t xml:space="preserve">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lastRenderedPageBreak/>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lastRenderedPageBreak/>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3154254"/>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3154255"/>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lastRenderedPageBreak/>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lastRenderedPageBreak/>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3154256"/>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3154257"/>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3154258"/>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3154259"/>
      <w:r>
        <w:lastRenderedPageBreak/>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3154260"/>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lastRenderedPageBreak/>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3154261"/>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lastRenderedPageBreak/>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3154262"/>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3154263"/>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lastRenderedPageBreak/>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3154264"/>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lastRenderedPageBreak/>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3154265"/>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3154266"/>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lastRenderedPageBreak/>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lastRenderedPageBreak/>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3154267"/>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3154268"/>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 xml:space="preserve">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w:t>
      </w:r>
      <w:r w:rsidRPr="00C135A7">
        <w:lastRenderedPageBreak/>
        <w:t>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lastRenderedPageBreak/>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w:t>
      </w:r>
      <w:r w:rsidRPr="00C135A7">
        <w:lastRenderedPageBreak/>
        <w:t xml:space="preserve">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3154269"/>
      <w:r>
        <w:lastRenderedPageBreak/>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 xml:space="preserve">uzavřít smlouvu zajištující </w:t>
      </w:r>
      <w:r w:rsidR="00ED54A8">
        <w:lastRenderedPageBreak/>
        <w:t>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3154270"/>
      <w:r>
        <w:lastRenderedPageBreak/>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lastRenderedPageBreak/>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CF73A" w14:textId="77777777" w:rsidR="00FA2FBC" w:rsidRDefault="00FA2FBC" w:rsidP="00533FFF">
      <w:pPr>
        <w:spacing w:after="0" w:line="240" w:lineRule="auto"/>
      </w:pPr>
      <w:r>
        <w:separator/>
      </w:r>
    </w:p>
  </w:endnote>
  <w:endnote w:type="continuationSeparator" w:id="0">
    <w:p w14:paraId="029A0FB4" w14:textId="77777777" w:rsidR="00FA2FBC" w:rsidRDefault="00FA2FBC"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3FA97F2C"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01D30">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01D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5B92126"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5B322B2"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9DA1E7D"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01D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01D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7B68E" w14:textId="77777777" w:rsidR="00FA2FBC" w:rsidRDefault="00FA2FBC" w:rsidP="00533FFF">
      <w:pPr>
        <w:spacing w:after="0" w:line="240" w:lineRule="auto"/>
      </w:pPr>
      <w:r>
        <w:separator/>
      </w:r>
    </w:p>
  </w:footnote>
  <w:footnote w:type="continuationSeparator" w:id="0">
    <w:p w14:paraId="652D6DE4" w14:textId="77777777" w:rsidR="00FA2FBC" w:rsidRDefault="00FA2FBC"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1D30"/>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6D8FD045-89CA-4873-9359-62C2BE980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11133</Words>
  <Characters>65689</Characters>
  <Application>Microsoft Office Word</Application>
  <DocSecurity>4</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2022-09-23T06:12:00Z</dcterms:created>
  <dcterms:modified xsi:type="dcterms:W3CDTF">2022-09-23T06:12:00Z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